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CCD84">
      <w:pPr>
        <w:jc w:val="center"/>
        <w:rPr>
          <w:rFonts w:hint="eastAsia" w:ascii="仿宋" w:hAnsi="仿宋" w:eastAsia="仿宋"/>
          <w:b/>
          <w:bCs w:val="0"/>
          <w:color w:val="auto"/>
          <w:sz w:val="28"/>
          <w:szCs w:val="28"/>
        </w:rPr>
      </w:pPr>
      <w:bookmarkStart w:id="0" w:name="_Toc21298"/>
      <w:bookmarkStart w:id="1" w:name="_Toc20242"/>
      <w:r>
        <w:rPr>
          <w:rFonts w:hint="eastAsia" w:ascii="仿宋" w:hAnsi="仿宋"/>
          <w:b/>
          <w:bCs w:val="0"/>
          <w:color w:val="auto"/>
          <w:sz w:val="28"/>
          <w:szCs w:val="28"/>
          <w:lang w:val="en-US" w:eastAsia="zh-CN"/>
        </w:rPr>
        <w:t>困难气道管理平台</w:t>
      </w:r>
      <w:r>
        <w:rPr>
          <w:rFonts w:hint="eastAsia" w:ascii="仿宋" w:hAnsi="仿宋" w:eastAsia="仿宋"/>
          <w:b/>
          <w:bCs w:val="0"/>
          <w:color w:val="auto"/>
          <w:sz w:val="28"/>
          <w:szCs w:val="28"/>
        </w:rPr>
        <w:t>技术</w:t>
      </w:r>
      <w:r>
        <w:rPr>
          <w:rFonts w:hint="eastAsia" w:ascii="仿宋" w:hAnsi="仿宋"/>
          <w:b/>
          <w:bCs w:val="0"/>
          <w:color w:val="auto"/>
          <w:sz w:val="28"/>
          <w:szCs w:val="28"/>
          <w:lang w:val="en-US" w:eastAsia="zh-CN"/>
        </w:rPr>
        <w:t>及商务</w:t>
      </w:r>
      <w:r>
        <w:rPr>
          <w:rFonts w:hint="eastAsia" w:ascii="仿宋" w:hAnsi="仿宋" w:eastAsia="仿宋"/>
          <w:b/>
          <w:bCs w:val="0"/>
          <w:color w:val="auto"/>
          <w:sz w:val="28"/>
          <w:szCs w:val="28"/>
        </w:rPr>
        <w:t>要求</w:t>
      </w:r>
      <w:bookmarkEnd w:id="0"/>
      <w:bookmarkEnd w:id="1"/>
    </w:p>
    <w:p w14:paraId="1094228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  <w:t>技术要求：</w:t>
      </w:r>
    </w:p>
    <w:tbl>
      <w:tblPr>
        <w:tblStyle w:val="7"/>
        <w:tblW w:w="9450" w:type="dxa"/>
        <w:jc w:val="center"/>
        <w:tblBorders>
          <w:top w:val="thinThickSmallGap" w:color="1F497D" w:sz="18" w:space="0"/>
          <w:left w:val="thinThickSmallGap" w:color="1F497D" w:sz="18" w:space="0"/>
          <w:bottom w:val="thinThickSmallGap" w:color="1F497D" w:sz="18" w:space="0"/>
          <w:right w:val="thinThickSmallGap" w:color="1F497D" w:sz="18" w:space="0"/>
          <w:insideH w:val="single" w:color="1F497D" w:sz="4" w:space="0"/>
          <w:insideV w:val="single" w:color="1F497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121"/>
        <w:gridCol w:w="5842"/>
      </w:tblGrid>
      <w:tr w14:paraId="44FE1754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7739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1C6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招标内容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2E9D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招标要求</w:t>
            </w:r>
          </w:p>
        </w:tc>
      </w:tr>
      <w:tr w14:paraId="5097043B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5791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3577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2CA07415">
            <w:pPr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b/>
                <w:bCs w:val="0"/>
                <w:color w:val="auto"/>
                <w:sz w:val="28"/>
                <w:szCs w:val="28"/>
                <w:lang w:val="en-US" w:eastAsia="zh-CN"/>
              </w:rPr>
              <w:t>困难气道管理</w:t>
            </w:r>
          </w:p>
        </w:tc>
      </w:tr>
      <w:tr w14:paraId="789D2E61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E10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0ABE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3B977DA3">
            <w:pP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台 </w:t>
            </w:r>
          </w:p>
        </w:tc>
      </w:tr>
      <w:tr w14:paraId="0DBCE774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1106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1E91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设备用途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342DA54D">
            <w:pPr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麻醉科各种器材存放方便，安全性能高，独特的加密功能，存放工具分类明确</w:t>
            </w:r>
          </w:p>
        </w:tc>
      </w:tr>
      <w:tr w14:paraId="0AD10AF1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13D3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39C9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1E18C2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投标人注明品牌、型号</w:t>
            </w:r>
          </w:p>
        </w:tc>
      </w:tr>
      <w:tr w14:paraId="71F36B12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6B87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8D0706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主要技术规格</w:t>
            </w:r>
          </w:p>
        </w:tc>
      </w:tr>
      <w:tr w14:paraId="2D5022E3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3FD2AC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CE8BF8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基本性能</w:t>
            </w:r>
          </w:p>
        </w:tc>
      </w:tr>
      <w:tr w14:paraId="1B3F9889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C282AB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C40A3C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整体尺寸：≥4500*600*1180mm</w:t>
            </w:r>
          </w:p>
        </w:tc>
      </w:tr>
      <w:tr w14:paraId="160FDEA8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7E93959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B79E9B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六层抽屉，每个抽屉内设置3横3竖6个格条，可拆卸自由组装</w:t>
            </w:r>
          </w:p>
        </w:tc>
      </w:tr>
      <w:tr w14:paraId="7FBDC870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7BB8075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C8453C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存储柜放置可视软性喉镜或一次性软镜≥3条</w:t>
            </w:r>
          </w:p>
        </w:tc>
      </w:tr>
      <w:tr w14:paraId="230BD89E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0497390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333F53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存储柜内需装有可定时的紫外线灯</w:t>
            </w:r>
          </w:p>
        </w:tc>
      </w:tr>
    </w:tbl>
    <w:p w14:paraId="7DE060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  <w:t>商务要求：</w:t>
      </w:r>
    </w:p>
    <w:p w14:paraId="6E020D0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供货期限</w:t>
      </w:r>
      <w:r>
        <w:rPr>
          <w:rFonts w:hint="eastAsia" w:ascii="仿宋" w:hAnsi="仿宋" w:eastAsia="仿宋" w:cs="仿宋"/>
          <w:color w:val="auto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合同签订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</w:t>
      </w:r>
      <w:r>
        <w:rPr>
          <w:rFonts w:hint="eastAsia" w:ascii="仿宋" w:hAnsi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个月内。无故延期交货，中标人赔偿由此引起的损失。</w:t>
      </w:r>
    </w:p>
    <w:p w14:paraId="6A5E764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质保期:</w:t>
      </w:r>
      <w:r>
        <w:rPr>
          <w:rFonts w:hint="eastAsia" w:ascii="仿宋" w:hAnsi="仿宋" w:eastAsia="仿宋" w:cs="仿宋"/>
          <w:sz w:val="24"/>
          <w:szCs w:val="24"/>
        </w:rPr>
        <w:t>≥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u w:val="none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年；保修期内年开机时间不低于350天，未达到以上承诺，超过天数以1延5补偿；单次停机不超过5天，否则，即提供备用机或1延5补偿维修时间。</w:t>
      </w:r>
    </w:p>
    <w:p w14:paraId="3BF2689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设备生产日期：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投标产品的生产日期在到货时要求不超过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个月。</w:t>
      </w:r>
    </w:p>
    <w:p w14:paraId="7056F59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设备供货、安装、调试：</w:t>
      </w:r>
    </w:p>
    <w:p w14:paraId="601E09E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  <w:t>设备到达采购人现场，中标人在采购人技术人员在场情况下共同进行现场验货。</w:t>
      </w:r>
      <w:r>
        <w:rPr>
          <w:rFonts w:hint="eastAsia" w:ascii="仿宋" w:hAnsi="仿宋" w:eastAsia="仿宋" w:cs="仿宋"/>
          <w:sz w:val="24"/>
          <w:szCs w:val="24"/>
        </w:rPr>
        <w:t>提供厂方书面设备安装要求并符合条件的说明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医学工程部</w:t>
      </w:r>
      <w:r>
        <w:rPr>
          <w:rFonts w:hint="eastAsia" w:ascii="仿宋" w:hAnsi="仿宋" w:eastAsia="仿宋" w:cs="仿宋"/>
          <w:sz w:val="24"/>
          <w:szCs w:val="24"/>
        </w:rPr>
        <w:t>签章后进行设备安装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7969EF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）设备交付</w:t>
      </w:r>
      <w:r>
        <w:rPr>
          <w:rFonts w:hint="eastAsia" w:ascii="仿宋" w:hAnsi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时提供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配套材料</w:t>
      </w:r>
      <w:r>
        <w:rPr>
          <w:rFonts w:hint="eastAsia" w:ascii="仿宋" w:hAnsi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。如属计量器具、放射类设备，则卖方提供经买方认可的且具有资质的检测机构出具的计量、放射防护检测合格报告，检测费用包含在合同总价中。</w:t>
      </w:r>
    </w:p>
    <w:p w14:paraId="043740D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  <w:t>）安装要求：</w:t>
      </w:r>
      <w:r>
        <w:rPr>
          <w:rFonts w:hint="eastAsia" w:ascii="仿宋" w:hAnsi="仿宋" w:eastAsia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  <w:t>根据采购人现有安装条件进行</w:t>
      </w:r>
      <w:r>
        <w:rPr>
          <w:rFonts w:hint="eastAsia" w:ascii="仿宋" w:hAnsi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  <w:t>安装</w:t>
      </w:r>
      <w:r>
        <w:rPr>
          <w:rFonts w:hint="eastAsia" w:ascii="仿宋" w:hAnsi="仿宋" w:eastAsia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  <w:t>，如在安装过程中造成院区装修损坏的，由中标人负责维修并承担维修费用。</w:t>
      </w:r>
    </w:p>
    <w:p w14:paraId="574EFC4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投标人根据上述要求提供设备供货、安装、调试方案。</w:t>
      </w:r>
    </w:p>
    <w:p w14:paraId="697013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.验收方式:</w:t>
      </w:r>
      <w:r>
        <w:rPr>
          <w:rFonts w:hint="eastAsia" w:ascii="仿宋" w:hAnsi="仿宋" w:eastAsia="仿宋" w:cs="仿宋"/>
          <w:color w:val="auto"/>
          <w:lang w:val="en-US" w:eastAsia="zh-CN"/>
        </w:rPr>
        <w:t>设备安装完毕后，由买卖双方共同对设备进行验收。</w:t>
      </w:r>
    </w:p>
    <w:p w14:paraId="2C9C866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验收的依据：</w:t>
      </w:r>
    </w:p>
    <w:p w14:paraId="71DBDDEC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制造商提供的技术规格；</w:t>
      </w:r>
    </w:p>
    <w:p w14:paraId="3ADBFFF5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合同和标书（及评标时的相关承诺）；</w:t>
      </w:r>
    </w:p>
    <w:p w14:paraId="7F43FDC6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国家强制标准如属于商检目录则必须提供商检证，如属于国家强制鉴定目录则必须提供CCC论证；</w:t>
      </w:r>
    </w:p>
    <w:p w14:paraId="07E37CE1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验收合格后，共同签署报告；</w:t>
      </w:r>
    </w:p>
    <w:p w14:paraId="78DE0621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中标人承担所有国家要求的检测项目费用。</w:t>
      </w:r>
    </w:p>
    <w:p w14:paraId="253C37E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58" w:lineRule="auto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当双方就技术问题出现争议且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无法提供充足的证明材料时，采购人有权委托第三方权威检测机构进行检测，检测费用由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承担（计入风险费含在投标报价内）。</w:t>
      </w:r>
    </w:p>
    <w:p w14:paraId="4AA0336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投标人根据上述要求提供验收方案。</w:t>
      </w:r>
    </w:p>
    <w:p w14:paraId="64E7C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.付款方式:</w:t>
      </w:r>
    </w:p>
    <w:p w14:paraId="6A72630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 w:ascii="Calibri" w:hAnsi="Calibri" w:eastAsia="仿宋" w:cs="Calibri"/>
          <w:color w:val="auto"/>
          <w:lang w:val="en-US" w:eastAsia="zh-CN"/>
        </w:rPr>
      </w:pPr>
      <w:r>
        <w:rPr>
          <w:rFonts w:hint="default" w:ascii="Calibri" w:hAnsi="Calibri" w:eastAsia="仿宋" w:cs="Calibri"/>
          <w:color w:val="auto"/>
          <w:lang w:val="en-US" w:eastAsia="zh-CN"/>
        </w:rPr>
        <w:t>货到验收合格后3个月一次性支付全款。</w:t>
      </w:r>
    </w:p>
    <w:p w14:paraId="39EAE50F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348" w:lineRule="auto"/>
        <w:ind w:left="0" w:leftChars="0" w:firstLine="0" w:firstLineChars="0"/>
        <w:textAlignment w:val="auto"/>
        <w:rPr>
          <w:color w:val="auto"/>
        </w:rPr>
      </w:pPr>
      <w:r>
        <w:rPr>
          <w:rFonts w:hint="eastAsia"/>
          <w:color w:val="auto"/>
        </w:rPr>
        <w:t>商务技术分</w:t>
      </w:r>
      <w:r>
        <w:rPr>
          <w:color w:val="auto"/>
        </w:rPr>
        <w:t>（</w:t>
      </w:r>
      <w:r>
        <w:rPr>
          <w:rFonts w:hint="eastAsia"/>
          <w:color w:val="auto"/>
          <w:lang w:val="en-US" w:eastAsia="zh-CN"/>
        </w:rPr>
        <w:t>7</w:t>
      </w:r>
      <w:r>
        <w:rPr>
          <w:color w:val="auto"/>
        </w:rPr>
        <w:t>0分）</w:t>
      </w:r>
    </w:p>
    <w:tbl>
      <w:tblPr>
        <w:tblStyle w:val="7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6660"/>
      </w:tblGrid>
      <w:tr w14:paraId="3640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评标要点及说明</w:t>
            </w:r>
          </w:p>
        </w:tc>
      </w:tr>
      <w:tr w14:paraId="1419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技术分（46）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A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技术响应与采购需求的符合性评价（34分）</w:t>
            </w:r>
          </w:p>
          <w:p w14:paraId="0946A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充分满足采购需求且优化的，最高得34分，基本满足采购需求得30分，不满足不得分。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证明材料：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有效的技术响应表、技术证明材料。技术响应表</w:t>
            </w:r>
            <w:r>
              <w:rPr>
                <w:rFonts w:hint="eastAsia" w:ascii="仿宋" w:hAnsi="仿宋" w:eastAsia="仿宋" w:cs="Arial"/>
                <w:color w:val="auto"/>
                <w:sz w:val="24"/>
              </w:rPr>
              <w:t>响应情况与投标文件中所提供的投标产品详细技术材料不一致时，以投标文件中所提供的投标产品详细技术材料为准。</w:t>
            </w:r>
          </w:p>
        </w:tc>
      </w:tr>
      <w:tr w14:paraId="63AF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88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E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lang w:val="en-US" w:eastAsia="zh-CN" w:bidi="ar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技术服务、技术培训（6分）</w:t>
            </w:r>
          </w:p>
          <w:p w14:paraId="5128D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b w:val="0"/>
                <w:bCs w:val="0"/>
                <w:lang w:val="en-US" w:eastAsia="zh-CN" w:bidi="ar"/>
              </w:rPr>
            </w:pPr>
            <w:r>
              <w:rPr>
                <w:rStyle w:val="12"/>
                <w:rFonts w:hint="eastAsia"/>
                <w:b w:val="0"/>
                <w:bCs w:val="0"/>
                <w:lang w:val="en-US" w:eastAsia="zh-CN" w:bidi="ar"/>
              </w:rPr>
              <w:t>（1）操作应用培训（0-3分）：投标人负责提供采购人的操作和临床应用培训，提供培训方案，方案完整、考虑充分、安排有效的最高得3分（评分范围：3，2，1，0）</w:t>
            </w:r>
          </w:p>
          <w:p w14:paraId="294F4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/>
                <w:b w:val="0"/>
                <w:bCs w:val="0"/>
                <w:lang w:val="en-US" w:eastAsia="zh-CN" w:bidi="ar"/>
              </w:rPr>
              <w:t>（2）维修保养培训（0-3分）：投标人负责在提供维修人员的培训，提供培训方案，方案考虑充分安排有效，最高得3分（评分范围：3，2，1，0）</w:t>
            </w:r>
            <w:r>
              <w:rPr>
                <w:rStyle w:val="12"/>
                <w:b w:val="0"/>
                <w:bCs w:val="0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                       </w:t>
            </w:r>
          </w:p>
        </w:tc>
      </w:tr>
      <w:tr w14:paraId="0A2F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20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供货安装调试、验收的方案和措施（6分）</w:t>
            </w:r>
            <w:r>
              <w:rPr>
                <w:rStyle w:val="11"/>
                <w:lang w:val="en-US" w:eastAsia="zh-CN" w:bidi="ar"/>
              </w:rPr>
              <w:t xml:space="preserve">            </w:t>
            </w:r>
          </w:p>
          <w:p w14:paraId="202A7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（1）供货安装调试方案（0-3分）：包括人员的安排、时间进度的规划，对设备的调试进度安排，调试的步骤、措施，问题的解决方案等，方案完整、考虑充分、措施有效的最高得3分（评分范围：3，2，1，0）。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（2）验收方案（0-3分）：提供验收方案及应急措施，方案考虑充分、措施科学有效的最高得3分（评分范围：3，2，1，0）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lang w:val="en-US" w:eastAsia="zh-CN"/>
              </w:rPr>
              <w:t>证明材料：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kern w:val="2"/>
                <w:u w:val="single"/>
                <w:lang w:val="en-US" w:eastAsia="zh-CN"/>
              </w:rPr>
              <w:t>提供设备供货、安装、调试方案、验收方案。</w:t>
            </w:r>
          </w:p>
        </w:tc>
      </w:tr>
      <w:tr w14:paraId="0CFC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商务、资信及其他分（24）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0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成功案例（3分）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磋商产品（同型号）近三年的销售业绩，每一例业绩得1分。提供完整的合同复印件，复印件能清楚的辨析设备型号和价格，否则不得分。本项最高得5分。</w:t>
            </w:r>
          </w:p>
        </w:tc>
      </w:tr>
      <w:tr w14:paraId="0F1D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7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D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质保期（5分）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供应商承诺的产品整体质保时间满足采购要求的前提下，基本满足2年得1分，每增加1年得1分，最多得5分。增加的时间不足1年的部分不计分。</w:t>
            </w:r>
          </w:p>
        </w:tc>
      </w:tr>
      <w:tr w14:paraId="3A7E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10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8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售后服务方案及备品配件优惠幅度（16分</w:t>
            </w:r>
            <w:r>
              <w:rPr>
                <w:rStyle w:val="13"/>
                <w:lang w:val="en-US" w:eastAsia="zh-CN" w:bidi="ar"/>
              </w:rPr>
              <w:t>）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（1）售后服务方案（0-4分）：根据售后服务商的实力、售后服务响应时间、售后服务内容是否全面等内容打分，最高得4分（评分范围：4，3，2，1，0）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2）售后服务机构备品备件储备情况（0-4分）：根据出保后设备保修价格（整机保修、单次维修、人工费等）、备品配件及耗材等方面的优惠内容及优惠价格或优惠幅度综合评审，最高得4分（评分范围,4，3，2，1，0）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（3）售后服务团队人员方案（0-2分）：根据供应商提供的售后服务团队人员的数量、分工、与项目的匹配程度、人员资质情况等内容打分，最高得2分（评分范围：2，1，0）</w:t>
            </w:r>
          </w:p>
          <w:p w14:paraId="6E75D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default"/>
                <w:lang w:val="en-US" w:eastAsia="zh-CN" w:bidi="ar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(4)优惠（0-6）：根据优惠条件高的得6分，部分优惠得3分，无优惠不得分。</w:t>
            </w:r>
          </w:p>
        </w:tc>
      </w:tr>
    </w:tbl>
    <w:p w14:paraId="48C8ACF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/>
          <w:b/>
          <w:bCs/>
          <w:color w:val="auto"/>
          <w:sz w:val="24"/>
          <w:szCs w:val="24"/>
          <w:lang w:val="en-US" w:eastAsia="zh-CN"/>
        </w:rPr>
      </w:pPr>
    </w:p>
    <w:p w14:paraId="7A11B4D7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04F06"/>
    <w:multiLevelType w:val="singleLevel"/>
    <w:tmpl w:val="3DD04F0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25ABAD"/>
    <w:multiLevelType w:val="singleLevel"/>
    <w:tmpl w:val="5A25ABA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E7751"/>
    <w:rsid w:val="0B3B0708"/>
    <w:rsid w:val="108E36CA"/>
    <w:rsid w:val="2C73437A"/>
    <w:rsid w:val="2D291F95"/>
    <w:rsid w:val="38A03462"/>
    <w:rsid w:val="43A67406"/>
    <w:rsid w:val="4F9A1371"/>
    <w:rsid w:val="52C8398D"/>
    <w:rsid w:val="5617141C"/>
    <w:rsid w:val="57972360"/>
    <w:rsid w:val="5AE85085"/>
    <w:rsid w:val="63C22327"/>
    <w:rsid w:val="6FCD7929"/>
    <w:rsid w:val="7D75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after="0" w:line="360" w:lineRule="auto"/>
      <w:ind w:firstLine="200" w:firstLineChars="200"/>
      <w:jc w:val="left"/>
      <w:outlineLvl w:val="1"/>
    </w:pPr>
    <w:rPr>
      <w:rFonts w:ascii="Arial" w:hAnsi="Arial" w:eastAsia="仿宋" w:cs="Arial"/>
      <w:b/>
      <w:bCs/>
      <w:kern w:val="2"/>
      <w:sz w:val="24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autoSpaceDE w:val="0"/>
      <w:autoSpaceDN w:val="0"/>
      <w:spacing w:before="120" w:after="120" w:line="300" w:lineRule="auto"/>
      <w:ind w:left="0" w:right="0"/>
      <w:jc w:val="left"/>
      <w:outlineLvl w:val="2"/>
    </w:pPr>
    <w:rPr>
      <w:rFonts w:ascii="Times New Roman" w:hAnsi="Times New Roman" w:eastAsia="仿宋" w:cs="Times New Roman"/>
      <w:kern w:val="2"/>
      <w:sz w:val="24"/>
      <w:szCs w:val="20"/>
      <w:lang w:val="en-US" w:eastAsia="zh-CN" w:bidi="ar-SA"/>
    </w:rPr>
  </w:style>
  <w:style w:type="paragraph" w:styleId="4">
    <w:name w:val="heading 6"/>
    <w:basedOn w:val="1"/>
    <w:next w:val="1"/>
    <w:qFormat/>
    <w:uiPriority w:val="0"/>
    <w:pPr>
      <w:keepNext/>
      <w:keepLines/>
      <w:spacing w:line="320" w:lineRule="auto"/>
      <w:outlineLvl w:val="5"/>
    </w:pPr>
    <w:rPr>
      <w:rFonts w:ascii="Calibri Light" w:hAnsi="Calibri Light" w:eastAsia="宋体" w:cs="Times New Roman"/>
      <w:b/>
      <w:bCs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qFormat/>
    <w:uiPriority w:val="0"/>
    <w:pPr>
      <w:widowControl/>
      <w:autoSpaceDE w:val="0"/>
      <w:autoSpaceDN w:val="0"/>
      <w:snapToGrid w:val="0"/>
      <w:spacing w:before="120" w:after="0" w:line="400" w:lineRule="atLeast"/>
      <w:ind w:left="0" w:right="0" w:firstLine="560"/>
      <w:jc w:val="left"/>
    </w:pPr>
    <w:rPr>
      <w:rFonts w:ascii="宋体" w:hAnsi="Times New Roman" w:eastAsia="仿宋" w:cs="宋体"/>
      <w:kern w:val="0"/>
      <w:sz w:val="24"/>
      <w:szCs w:val="20"/>
      <w:lang w:val="en-US" w:eastAsia="zh-CN" w:bidi="ar-SA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customStyle="1" w:styleId="10">
    <w:name w:val="正文首行缩进 21"/>
    <w:basedOn w:val="5"/>
    <w:qFormat/>
    <w:uiPriority w:val="0"/>
    <w:pPr>
      <w:widowControl w:val="0"/>
      <w:snapToGrid w:val="0"/>
      <w:spacing w:line="360" w:lineRule="auto"/>
      <w:ind w:left="0" w:leftChars="0" w:firstLine="200" w:firstLineChars="200"/>
      <w:jc w:val="center"/>
    </w:pPr>
    <w:rPr>
      <w:rFonts w:ascii="Times New Roman" w:hAnsi="Times New Roman" w:eastAsia="宋体" w:cs="Times New Roman"/>
      <w:kern w:val="0"/>
      <w:szCs w:val="24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1817</Words>
  <Characters>1893</Characters>
  <Lines>0</Lines>
  <Paragraphs>0</Paragraphs>
  <TotalTime>36</TotalTime>
  <ScaleCrop>false</ScaleCrop>
  <LinksUpToDate>false</LinksUpToDate>
  <CharactersWithSpaces>1933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2025-02-21T07:54:00Z</dcterms:created>
  <dc:creator>Administrator</dc:creator>
  <cp:lastModifiedBy>归</cp:lastModifiedBy>
  <dcterms:modified xsi:type="dcterms:W3CDTF">2025-02-28T05:39:29Z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eyJoZGlkIjoiZWE0ZDVhNzJiZWY3M2JiNTI2M2Y5NmNiYmQxMjY0YzQiLCJ1c2VySWQiOiIyNTc5MTEzOTMifQ==</vt:lpwstr>
  </property>
  <property fmtid="{D5CDD505-2E9C-101B-9397-08002B2CF9AE}" pid="4" name="ICV">
    <vt:lpwstr>69E01B2617E04DB2899C71158A8CCE77_12</vt:lpwstr>
  </property>
</Properties>
</file>