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CD84">
      <w:pPr>
        <w:jc w:val="center"/>
        <w:rPr>
          <w:rFonts w:hint="eastAsia" w:ascii="仿宋" w:hAnsi="仿宋" w:eastAsia="仿宋"/>
          <w:b/>
          <w:bCs w:val="0"/>
          <w:color w:val="auto"/>
          <w:sz w:val="28"/>
          <w:szCs w:val="28"/>
        </w:rPr>
      </w:pPr>
      <w:bookmarkStart w:id="0" w:name="_Toc20242"/>
      <w:bookmarkStart w:id="1" w:name="_Toc21298"/>
      <w:r>
        <w:rPr>
          <w:rFonts w:hint="eastAsia" w:ascii="仿宋" w:hAnsi="仿宋"/>
          <w:b/>
          <w:bCs w:val="0"/>
          <w:color w:val="auto"/>
          <w:sz w:val="28"/>
          <w:szCs w:val="28"/>
          <w:lang w:val="en-US" w:eastAsia="zh-CN"/>
        </w:rPr>
        <w:t>动态心电图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技术</w:t>
      </w:r>
      <w:r>
        <w:rPr>
          <w:rFonts w:hint="eastAsia" w:ascii="仿宋" w:hAnsi="仿宋"/>
          <w:b/>
          <w:bCs w:val="0"/>
          <w:color w:val="auto"/>
          <w:sz w:val="28"/>
          <w:szCs w:val="28"/>
          <w:lang w:val="en-US" w:eastAsia="zh-CN"/>
        </w:rPr>
        <w:t>及商务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要求</w:t>
      </w:r>
      <w:bookmarkEnd w:id="0"/>
      <w:bookmarkEnd w:id="1"/>
    </w:p>
    <w:p w14:paraId="1094228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技术要求：</w:t>
      </w:r>
    </w:p>
    <w:tbl>
      <w:tblPr>
        <w:tblStyle w:val="7"/>
        <w:tblW w:w="9450" w:type="dxa"/>
        <w:jc w:val="center"/>
        <w:tblBorders>
          <w:top w:val="thinThickSmallGap" w:color="1F497D" w:sz="18" w:space="0"/>
          <w:left w:val="thinThickSmallGap" w:color="1F497D" w:sz="18" w:space="0"/>
          <w:bottom w:val="thinThickSmallGap" w:color="1F497D" w:sz="18" w:space="0"/>
          <w:right w:val="thinThickSmallGap" w:color="1F497D" w:sz="18" w:space="0"/>
          <w:insideH w:val="single" w:color="1F497D" w:sz="4" w:space="0"/>
          <w:insideV w:val="single" w:color="1F497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121"/>
        <w:gridCol w:w="5842"/>
      </w:tblGrid>
      <w:tr w14:paraId="44FE175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773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1C6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2E9D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招标要求</w:t>
            </w:r>
          </w:p>
        </w:tc>
      </w:tr>
      <w:tr w14:paraId="5097043B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579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57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2CA07415">
            <w:pP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动态心电图</w:t>
            </w:r>
          </w:p>
        </w:tc>
      </w:tr>
      <w:tr w14:paraId="789D2E6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E1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0ABE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B977DA3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台 </w:t>
            </w:r>
          </w:p>
        </w:tc>
      </w:tr>
      <w:tr w14:paraId="0DBCE77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10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1E91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设备用途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42DA54D">
            <w:pP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4"/>
                <w:szCs w:val="24"/>
                <w:lang w:val="en-US" w:eastAsia="zh-CN"/>
              </w:rPr>
              <w:t>用于动态心电图信号的采集和存储</w:t>
            </w:r>
          </w:p>
        </w:tc>
      </w:tr>
      <w:tr w14:paraId="0AD10AF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3D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9C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1E18C2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投标人注明品牌、型号</w:t>
            </w:r>
          </w:p>
        </w:tc>
      </w:tr>
      <w:tr w14:paraId="71F36B12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6B87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D0706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主要技术规格</w:t>
            </w:r>
          </w:p>
        </w:tc>
      </w:tr>
      <w:tr w14:paraId="2D5022E3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3FD2A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E8BF8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基本性能</w:t>
            </w:r>
          </w:p>
        </w:tc>
      </w:tr>
      <w:tr w14:paraId="1B3F9889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C282A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40A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导联通道：3导。</w:t>
            </w:r>
          </w:p>
        </w:tc>
      </w:tr>
      <w:tr w14:paraId="160FDEA8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E93959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79E9B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频率响应;0.05--65HZ。</w:t>
            </w:r>
          </w:p>
        </w:tc>
      </w:tr>
      <w:tr w14:paraId="7FBDC870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BB8075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845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输入阻抗≥20MΩ。</w:t>
            </w:r>
          </w:p>
        </w:tc>
      </w:tr>
      <w:tr w14:paraId="230BD89E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0497390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33F53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共模抑制比≥100dB。</w:t>
            </w:r>
          </w:p>
        </w:tc>
      </w:tr>
      <w:tr w14:paraId="2BE6B766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604B252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2.1.5</w:t>
            </w:r>
            <w:r>
              <w:rPr>
                <w:rFonts w:hint="default" w:ascii="仿宋" w:hAnsi="仿宋" w:cs="仿宋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E8E711">
            <w:pPr>
              <w:spacing w:line="400" w:lineRule="exact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采样率：128--1024次/秒/通道，起搏采样率32000HZ。</w:t>
            </w:r>
          </w:p>
        </w:tc>
      </w:tr>
      <w:tr w14:paraId="6C1442C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56C1DAD2">
            <w:pPr>
              <w:spacing w:line="400" w:lineRule="exact"/>
              <w:jc w:val="center"/>
              <w:rPr>
                <w:rFonts w:hint="default" w:ascii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2.1.6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988BD">
            <w:pPr>
              <w:spacing w:line="400" w:lineRule="exact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具有独立分析软件。</w:t>
            </w:r>
          </w:p>
        </w:tc>
      </w:tr>
      <w:tr w14:paraId="2AD45126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3D96BB5">
            <w:pPr>
              <w:spacing w:line="400" w:lineRule="exact"/>
              <w:jc w:val="center"/>
              <w:rPr>
                <w:rFonts w:hint="default" w:ascii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2.1.7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475997">
            <w:pPr>
              <w:spacing w:line="400" w:lineRule="exact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具有3维散点图功能，精准查找定位心博，</w:t>
            </w:r>
          </w:p>
        </w:tc>
      </w:tr>
      <w:tr w14:paraId="192AD61A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B99360F">
            <w:pPr>
              <w:spacing w:line="400" w:lineRule="exact"/>
              <w:jc w:val="center"/>
              <w:rPr>
                <w:rFonts w:hint="default" w:ascii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2.1.8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DE8FCE">
            <w:pPr>
              <w:spacing w:line="400" w:lineRule="exact"/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具有AI智能心博叠加返混淆对焦功能，具有时序直观散点图显示功能</w:t>
            </w:r>
          </w:p>
        </w:tc>
      </w:tr>
      <w:tr w14:paraId="19FEB7FD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6EEBCF93">
            <w:pPr>
              <w:spacing w:line="400" w:lineRule="exact"/>
              <w:jc w:val="center"/>
              <w:rPr>
                <w:rFonts w:hint="default" w:ascii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2.1.9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CFE4A3">
            <w:pPr>
              <w:spacing w:line="400" w:lineRule="exact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具有时序直观散点图显示功能，具有时间散点图心博回放功能</w:t>
            </w:r>
          </w:p>
        </w:tc>
      </w:tr>
    </w:tbl>
    <w:p w14:paraId="7DE06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商务要求：</w:t>
      </w:r>
    </w:p>
    <w:p w14:paraId="6E020D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供货期限</w:t>
      </w:r>
      <w:r>
        <w:rPr>
          <w:rFonts w:hint="eastAsia" w:ascii="仿宋" w:hAnsi="仿宋" w:eastAsia="仿宋" w:cs="仿宋"/>
          <w:color w:val="auto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合同签订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</w:t>
      </w:r>
      <w:r>
        <w:rPr>
          <w:rFonts w:hint="eastAsia" w:ascii="仿宋" w:hAnsi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个月内。无故延期交货，中标人赔偿由此引起的损失。</w:t>
      </w:r>
    </w:p>
    <w:p w14:paraId="6A5E76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质保期:</w:t>
      </w:r>
      <w:r>
        <w:rPr>
          <w:rFonts w:hint="eastAsia" w:ascii="仿宋" w:hAnsi="仿宋" w:eastAsia="仿宋" w:cs="仿宋"/>
          <w:sz w:val="24"/>
          <w:szCs w:val="24"/>
        </w:rPr>
        <w:t>≥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年；保修期内年开机时间不低于350天，未达到以上承诺，超过天数以1延5补偿；单次停机不超过5天，否则，即提供备用机或1延5补偿维修时间。</w:t>
      </w:r>
    </w:p>
    <w:p w14:paraId="3BF268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设备生产日期：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投标产品的生产日期在到货时要求不超过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个月。</w:t>
      </w:r>
    </w:p>
    <w:p w14:paraId="020438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.售后服务要求:</w:t>
      </w:r>
    </w:p>
    <w:p w14:paraId="1857C3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详见《医疗设备售后服务承诺》，并提供盖章的文件。</w:t>
      </w:r>
    </w:p>
    <w:p w14:paraId="129589F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5.技术服务、技术培训</w:t>
      </w:r>
    </w:p>
    <w:p w14:paraId="15C65C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1）</w:t>
      </w:r>
      <w:r>
        <w:rPr>
          <w:rFonts w:hint="eastAsia" w:ascii="仿宋" w:hAnsi="仿宋" w:cs="仿宋"/>
          <w:color w:val="auto"/>
          <w:lang w:val="en-US" w:eastAsia="zh-CN"/>
        </w:rPr>
        <w:t>操作应用培训：</w:t>
      </w:r>
      <w:r>
        <w:rPr>
          <w:rFonts w:hint="eastAsia" w:ascii="仿宋" w:hAnsi="仿宋" w:eastAsia="仿宋" w:cs="仿宋"/>
          <w:color w:val="auto"/>
          <w:lang w:val="en-US" w:eastAsia="zh-CN"/>
        </w:rPr>
        <w:t>中标人负责对采购人技术人员、操作人员免费进行设备的基本操作</w:t>
      </w:r>
      <w:r>
        <w:rPr>
          <w:rFonts w:hint="eastAsia" w:ascii="仿宋" w:hAnsi="仿宋" w:cs="仿宋"/>
          <w:color w:val="auto"/>
          <w:lang w:val="en-US" w:eastAsia="zh-CN"/>
        </w:rPr>
        <w:t>培训，培训内容包含且不限于系统详细介绍、软件功能介绍、设备质控介绍、设备参数介绍、高级临床应用介绍等。提供厂方书面培训计划及要求，并由使用科室对培训结果进行确认。</w:t>
      </w:r>
    </w:p>
    <w:p w14:paraId="65D1C5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45E9B4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color w:val="auto"/>
          <w:lang w:val="en-US" w:eastAsia="zh-CN"/>
        </w:rPr>
        <w:t>2）维修保养培训：中标人负责对采购人技术员、操作人员免费进行设备的日常维护培训，培训内容包含且不限于培训人员介绍、设备机房工作环境培训、设备部件电气项目和机械项目培训等。</w:t>
      </w:r>
      <w:r>
        <w:rPr>
          <w:rFonts w:hint="eastAsia" w:ascii="仿宋" w:hAnsi="仿宋" w:eastAsia="仿宋" w:cs="仿宋"/>
          <w:sz w:val="24"/>
          <w:szCs w:val="24"/>
        </w:rPr>
        <w:t>提供厂方书面培训计划（同厂方工程师内容），在厂方维修中心实施培训，并由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</w:t>
      </w:r>
      <w:r>
        <w:rPr>
          <w:rFonts w:hint="eastAsia" w:ascii="仿宋" w:hAnsi="仿宋" w:eastAsia="仿宋" w:cs="仿宋"/>
          <w:sz w:val="24"/>
          <w:szCs w:val="24"/>
        </w:rPr>
        <w:t>科对培训结果签（字）章确认。</w:t>
      </w:r>
    </w:p>
    <w:p w14:paraId="07F0ED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29FAB5E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质量控制: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提供厂方的医疗设备安全使用及质量管理要求及实施计划（保修期内由厂方实施）</w:t>
      </w: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。</w:t>
      </w:r>
    </w:p>
    <w:p w14:paraId="7056F59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设备供货、安装、调试：</w:t>
      </w:r>
    </w:p>
    <w:p w14:paraId="601E09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设备到达采购人现场，中标人在采购人技术人员在场情况下共同进行现场验货。</w:t>
      </w:r>
      <w:r>
        <w:rPr>
          <w:rFonts w:hint="eastAsia" w:ascii="仿宋" w:hAnsi="仿宋" w:eastAsia="仿宋" w:cs="仿宋"/>
          <w:sz w:val="24"/>
          <w:szCs w:val="24"/>
        </w:rPr>
        <w:t>提供厂方书面设备安装要求并符合条件的说明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医学工程部</w:t>
      </w:r>
      <w:r>
        <w:rPr>
          <w:rFonts w:hint="eastAsia" w:ascii="仿宋" w:hAnsi="仿宋" w:eastAsia="仿宋" w:cs="仿宋"/>
          <w:sz w:val="24"/>
          <w:szCs w:val="24"/>
        </w:rPr>
        <w:t>签章后进行设备安装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969EF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）设备交付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时提供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配套材料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。如属计量器具、放射类设备，则卖方提供经买方认可的且具有资质的检测机构出具的计量、放射防护检测合格报告，检测费用包含在合同总价中。</w:t>
      </w:r>
    </w:p>
    <w:p w14:paraId="043740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）安装要求：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根据采购人现有安装条件进行</w:t>
      </w:r>
      <w:r>
        <w:rPr>
          <w:rFonts w:hint="eastAsia" w:ascii="仿宋" w:hAnsi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安装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，如在安装过程中造成院区装修损坏的，由中标人负责维修并承担维修费用。</w:t>
      </w:r>
    </w:p>
    <w:p w14:paraId="574EFC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投标人根据上述要求提供设备供货、安装、调试方案。</w:t>
      </w:r>
    </w:p>
    <w:p w14:paraId="697013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.验收方式:</w:t>
      </w:r>
      <w:r>
        <w:rPr>
          <w:rFonts w:hint="eastAsia" w:ascii="仿宋" w:hAnsi="仿宋" w:eastAsia="仿宋" w:cs="仿宋"/>
          <w:color w:val="auto"/>
          <w:lang w:val="en-US" w:eastAsia="zh-CN"/>
        </w:rPr>
        <w:t>设备安装完毕后，由买卖双方共同对设备进行验收。</w:t>
      </w:r>
    </w:p>
    <w:p w14:paraId="2C9C86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验收的依据：</w:t>
      </w:r>
    </w:p>
    <w:p w14:paraId="71DBDDE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制造商提供的技术规格；</w:t>
      </w:r>
    </w:p>
    <w:p w14:paraId="3ADBFFF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合同和标书（及评标时的相关承诺）；</w:t>
      </w:r>
    </w:p>
    <w:p w14:paraId="7F43FDC6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国家强制标准如属于商检目录则必须提供商检证，如属于国家强制鉴定目录则必须提供CCC论证；</w:t>
      </w:r>
    </w:p>
    <w:p w14:paraId="07E37CE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验收合格后，共同签署报告；</w:t>
      </w:r>
    </w:p>
    <w:p w14:paraId="78DE062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中标人承担所有国家要求的检测项目费用。</w:t>
      </w:r>
    </w:p>
    <w:p w14:paraId="253C37E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58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当双方就技术问题出现争议且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无法提供充足的证明材料时，采购人有权委托第三方权威检测机构进行检测，检测费用由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承担（计入风险费含在投标报价内）。</w:t>
      </w:r>
    </w:p>
    <w:p w14:paraId="4AA033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投标人根据上述要求提供验收方案。</w:t>
      </w:r>
    </w:p>
    <w:p w14:paraId="64E7C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.付款方式:</w:t>
      </w:r>
    </w:p>
    <w:p w14:paraId="6A7263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Calibri" w:hAnsi="Calibri" w:eastAsia="仿宋" w:cs="Calibri"/>
          <w:color w:val="auto"/>
          <w:lang w:val="en-US" w:eastAsia="zh-CN"/>
        </w:rPr>
      </w:pPr>
      <w:r>
        <w:rPr>
          <w:rFonts w:hint="default" w:ascii="Calibri" w:hAnsi="Calibri" w:eastAsia="仿宋" w:cs="Calibri"/>
          <w:color w:val="auto"/>
          <w:lang w:val="en-US" w:eastAsia="zh-CN"/>
        </w:rPr>
        <w:t>货到验收合格后3个月一次性支付全款。</w:t>
      </w:r>
    </w:p>
    <w:p w14:paraId="39EAE50F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348" w:lineRule="auto"/>
        <w:ind w:left="0" w:leftChars="0" w:firstLine="0" w:firstLineChars="0"/>
        <w:textAlignment w:val="auto"/>
        <w:rPr>
          <w:color w:val="auto"/>
        </w:rPr>
      </w:pPr>
      <w:r>
        <w:rPr>
          <w:rFonts w:hint="eastAsia"/>
          <w:color w:val="auto"/>
        </w:rPr>
        <w:t>商务技术分</w:t>
      </w: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0分）</w:t>
      </w:r>
    </w:p>
    <w:tbl>
      <w:tblPr>
        <w:tblStyle w:val="7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660"/>
      </w:tblGrid>
      <w:tr w14:paraId="3640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评标要点及说明</w:t>
            </w:r>
          </w:p>
        </w:tc>
      </w:tr>
      <w:tr w14:paraId="1419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技术分（46）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技术响应与采购需求的符合性评价（34分）</w:t>
            </w:r>
          </w:p>
          <w:p w14:paraId="0946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充分满足采购需求且优化的，最高得34分，基本满足采购需求得30分，不满足不得分。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证明材料：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有效的技术响应表、技术证明材料。技术响应表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响应情况与投标文件中所提供的投标产品详细技术材料不一致时，以投标文件中所提供的投标产品详细技术材料为准。</w:t>
            </w:r>
          </w:p>
        </w:tc>
      </w:tr>
      <w:tr w14:paraId="63AF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技术服务、技术培训（6分）</w:t>
            </w:r>
          </w:p>
          <w:p w14:paraId="5128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（1）操作应用培训（0-3分）：投标人负责提供采购人的操作和临床应用培训，提供培训方案，方案完整、考虑充分、安排有效的最高得3分（评分范围：3，2，1，0）</w:t>
            </w:r>
          </w:p>
          <w:p w14:paraId="294F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（2）维修保养培训（0-3分）：投标人负责在提供维修人员的培训，提供培训方案，方案考虑充分安排有效，最高得3分（评分范围：3，2，1，0）</w:t>
            </w:r>
            <w:r>
              <w:rPr>
                <w:rStyle w:val="12"/>
                <w:b w:val="0"/>
                <w:bCs w:val="0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                     </w:t>
            </w:r>
          </w:p>
        </w:tc>
      </w:tr>
      <w:tr w14:paraId="0A2F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2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供货安装调试、验收的方案和措施（6分）</w:t>
            </w:r>
            <w:r>
              <w:rPr>
                <w:rStyle w:val="11"/>
                <w:lang w:val="en-US" w:eastAsia="zh-CN" w:bidi="ar"/>
              </w:rPr>
              <w:t xml:space="preserve">            </w:t>
            </w:r>
          </w:p>
          <w:p w14:paraId="202A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（1）供货安装调试方案（0-3分）：包括人员的安排、时间进度的规划，对设备的调试进度安排，调试的步骤、措施，问题的解决方案等，方案完整、考虑充分、措施有效的最高得3分（评分范围：3，2，1，0）。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（2）验收方案（0-3分）：提供验收方案及应急措施，方案考虑充分、措施科学有效的最高得3分（评分范围：3，2，1，0）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lang w:val="en-US" w:eastAsia="zh-CN"/>
              </w:rPr>
              <w:t>证明材料：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u w:val="single"/>
                <w:lang w:val="en-US" w:eastAsia="zh-CN"/>
              </w:rPr>
              <w:t>提供设备供货、安装、调试方案、验收方案。</w:t>
            </w:r>
          </w:p>
        </w:tc>
      </w:tr>
      <w:tr w14:paraId="0CFC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商务、资信及其他分（24）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成功案例（3分）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磋商产品（同型号）近三年的销售业绩，每一例业绩得1分。提供完整的合同复印件，复印件能清楚的辨析设备型号和价格，否则不得分。本项最高得5分。</w:t>
            </w:r>
          </w:p>
        </w:tc>
      </w:tr>
      <w:tr w14:paraId="0F1D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7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质保期（5分）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供应商承诺的产品整体质保时间满足采购要求的前提下，基本满足2年得1分，每增加1年得1分，最多得5分。增加的时间不足1年的部分不计分。</w:t>
            </w:r>
          </w:p>
        </w:tc>
      </w:tr>
      <w:tr w14:paraId="3A7E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0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8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售后服务方案及备品配件优惠幅度（16分</w:t>
            </w:r>
            <w:r>
              <w:rPr>
                <w:rStyle w:val="13"/>
                <w:lang w:val="en-US" w:eastAsia="zh-CN" w:bidi="ar"/>
              </w:rPr>
              <w:t>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（1）售后服务方案（0-4分）：根据售后服务商的实力、售后服务响应时间、售后服务内容是否全面等内容打分，最高得4分（评分范围：4，3，2，1，0）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2）售后服务机构备品备件储备情况（0-4分）：根据出保后设备保修价格（整机保修、单次维修、人工费等）、备品配件及耗材等方面的优惠内容及优惠价格或优惠幅度综合评审，最高得4分（评分范围,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（3）售后服务团队人员方案（0-2分）：根据供应商提供的售后服务团队人员的数量、分工、与项目的匹配程度、人员资质情况等内容打分，最高得2分（评分范围：2，1，0）</w:t>
            </w:r>
          </w:p>
          <w:p w14:paraId="6E75D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(4)优惠（0-6）：根据优惠条件高的得6分，部分优惠得3分，无优惠不得分。</w:t>
            </w:r>
          </w:p>
        </w:tc>
      </w:tr>
    </w:tbl>
    <w:p w14:paraId="48C8AC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</w:p>
    <w:p w14:paraId="7A11B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B918B"/>
    <w:multiLevelType w:val="singleLevel"/>
    <w:tmpl w:val="F03B918B"/>
    <w:lvl w:ilvl="0" w:tentative="0">
      <w:start w:val="6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  <w:b/>
        <w:bCs/>
      </w:rPr>
    </w:lvl>
  </w:abstractNum>
  <w:abstractNum w:abstractNumId="1">
    <w:nsid w:val="3DD04F06"/>
    <w:multiLevelType w:val="singleLevel"/>
    <w:tmpl w:val="3DD04F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25ABAD"/>
    <w:multiLevelType w:val="singleLevel"/>
    <w:tmpl w:val="5A25ABA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7751"/>
    <w:rsid w:val="0B3B0708"/>
    <w:rsid w:val="108E36CA"/>
    <w:rsid w:val="2C73437A"/>
    <w:rsid w:val="2D291F95"/>
    <w:rsid w:val="38A03462"/>
    <w:rsid w:val="3F873CEA"/>
    <w:rsid w:val="43A67406"/>
    <w:rsid w:val="4F9A1371"/>
    <w:rsid w:val="52C8398D"/>
    <w:rsid w:val="5617141C"/>
    <w:rsid w:val="581C39FF"/>
    <w:rsid w:val="5AE85085"/>
    <w:rsid w:val="5B006BC0"/>
    <w:rsid w:val="6FCD7929"/>
    <w:rsid w:val="7D7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after="0" w:line="360" w:lineRule="auto"/>
      <w:ind w:firstLine="200" w:firstLineChars="200"/>
      <w:jc w:val="left"/>
      <w:outlineLvl w:val="1"/>
    </w:pPr>
    <w:rPr>
      <w:rFonts w:ascii="Arial" w:hAnsi="Arial" w:eastAsia="仿宋" w:cs="Arial"/>
      <w:b/>
      <w:bCs/>
      <w:kern w:val="2"/>
      <w:sz w:val="24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autoSpaceDE w:val="0"/>
      <w:autoSpaceDN w:val="0"/>
      <w:spacing w:before="120" w:after="120" w:line="300" w:lineRule="auto"/>
      <w:ind w:left="0" w:right="0"/>
      <w:jc w:val="left"/>
      <w:outlineLvl w:val="2"/>
    </w:pPr>
    <w:rPr>
      <w:rFonts w:ascii="Times New Roman" w:hAnsi="Times New Roman" w:eastAsia="仿宋" w:cs="Times New Roman"/>
      <w:kern w:val="2"/>
      <w:sz w:val="24"/>
      <w:szCs w:val="20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line="320" w:lineRule="auto"/>
      <w:outlineLvl w:val="5"/>
    </w:pPr>
    <w:rPr>
      <w:rFonts w:ascii="Calibri Light" w:hAnsi="Calibri Light" w:eastAsia="宋体" w:cs="Times New Roman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widowControl/>
      <w:autoSpaceDE w:val="0"/>
      <w:autoSpaceDN w:val="0"/>
      <w:snapToGrid w:val="0"/>
      <w:spacing w:before="120" w:after="0" w:line="400" w:lineRule="atLeast"/>
      <w:ind w:left="0" w:right="0" w:firstLine="560"/>
      <w:jc w:val="left"/>
    </w:pPr>
    <w:rPr>
      <w:rFonts w:ascii="宋体" w:hAnsi="Times New Roman" w:eastAsia="仿宋" w:cs="宋体"/>
      <w:kern w:val="0"/>
      <w:sz w:val="24"/>
      <w:szCs w:val="20"/>
      <w:lang w:val="en-US" w:eastAsia="zh-CN" w:bidi="ar-S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正文首行缩进 21"/>
    <w:basedOn w:val="5"/>
    <w:qFormat/>
    <w:uiPriority w:val="0"/>
    <w:pPr>
      <w:widowControl w:val="0"/>
      <w:snapToGrid w:val="0"/>
      <w:spacing w:line="360" w:lineRule="auto"/>
      <w:ind w:left="0" w:leftChars="0" w:firstLine="200" w:firstLineChars="200"/>
      <w:jc w:val="center"/>
    </w:pPr>
    <w:rPr>
      <w:rFonts w:ascii="Times New Roman" w:hAnsi="Times New Roman" w:eastAsia="宋体" w:cs="Times New Roman"/>
      <w:kern w:val="0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2325</Words>
  <Characters>2440</Characters>
  <Lines>0</Lines>
  <Paragraphs>0</Paragraphs>
  <TotalTime>5</TotalTime>
  <ScaleCrop>false</ScaleCrop>
  <LinksUpToDate>false</LinksUpToDate>
  <CharactersWithSpaces>2491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2025-02-21T07:54:00Z</dcterms:created>
  <dc:creator>Administrator</dc:creator>
  <cp:lastModifiedBy>归</cp:lastModifiedBy>
  <dcterms:modified xsi:type="dcterms:W3CDTF">2025-03-03T06:14:36Z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eyJoZGlkIjoiMGViYjgwOGEyODc0OTMxMTJjOGUyYzYyMGJiN2Q2ZmIiLCJ1c2VySWQiOiIyNTc5MTEzOTMifQ==</vt:lpwstr>
  </property>
  <property fmtid="{D5CDD505-2E9C-101B-9397-08002B2CF9AE}" pid="4" name="ICV">
    <vt:lpwstr>69E01B2617E04DB2899C71158A8CCE77_12</vt:lpwstr>
  </property>
</Properties>
</file>