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jc w:val="center"/>
        <w:rPr>
          <w:rFonts w:hint="eastAsia" w:ascii="仿宋" w:hAnsi="仿宋" w:eastAsia="仿宋"/>
          <w:b/>
          <w:bCs w:val="0"/>
          <w:color w:val="auto"/>
          <w:sz w:val="28"/>
          <w:szCs w:val="28"/>
        </w:rPr>
      </w:pPr>
      <w:bookmarkStart w:id="0" w:name="_Toc21298"/>
      <w:bookmarkStart w:id="1" w:name="_Toc20242"/>
      <w:r>
        <w:rPr>
          <w:rFonts w:hint="eastAsia" w:ascii="仿宋" w:hAnsi="仿宋" w:cs="仿宋"/>
          <w:b/>
          <w:bCs w:val="0"/>
          <w:color w:val="000000"/>
          <w:sz w:val="28"/>
          <w:szCs w:val="28"/>
          <w:lang w:val="en-US" w:eastAsia="zh-CN"/>
        </w:rPr>
        <w:t>动态血压仪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技术</w:t>
      </w:r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及商务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动态血压仪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台 </w:t>
            </w:r>
          </w:p>
        </w:tc>
      </w:tr>
      <w:tr w14:paraId="0DBCE77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1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1E9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42DA54D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对患者血压进行动态监测测量，完成动态血压监测功能。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外形尺寸记录盒≤116mm*70mm*40mm，重量≤210g（不含电池）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测量方法：示波法或逐步释压震荡测量法</w:t>
            </w:r>
          </w:p>
        </w:tc>
      </w:tr>
      <w:tr w14:paraId="7FBDC87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BB8075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845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满足高精度血压测量0mmHg--300mmHg</w:t>
            </w:r>
          </w:p>
        </w:tc>
      </w:tr>
      <w:tr w14:paraId="230BD89E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497390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33F53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满足精确的心率测量功能30次/分--220次/分</w:t>
            </w:r>
          </w:p>
        </w:tc>
      </w:tr>
      <w:tr w14:paraId="43D5815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44AC2B6C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2.1.5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9B680D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支持过压保护，当血压测量压力超过300mmHg时，袖带能够自动释压</w:t>
            </w:r>
          </w:p>
        </w:tc>
      </w:tr>
      <w:tr w14:paraId="776DD7E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ED63608">
            <w:pPr>
              <w:spacing w:line="400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2.1.6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7AEAC">
            <w:pPr>
              <w:spacing w:line="400" w:lineRule="exact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监测时长需≥24小时（监测间隔可选5,10,15,20,30,45,60,90,120分钟）</w:t>
            </w:r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合同签订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后</w:t>
      </w:r>
      <w:r>
        <w:rPr>
          <w:rFonts w:hint="eastAsia" w:ascii="仿宋" w:hAnsi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cs="仿宋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质保期:</w:t>
      </w:r>
      <w:r>
        <w:rPr>
          <w:rFonts w:hint="eastAsia" w:ascii="仿宋" w:hAnsi="仿宋" w:eastAsia="仿宋" w:cs="仿宋"/>
          <w:sz w:val="21"/>
          <w:szCs w:val="21"/>
        </w:rPr>
        <w:t>≥</w:t>
      </w:r>
      <w:r>
        <w:rPr>
          <w:rFonts w:hint="eastAsia" w:ascii="仿宋" w:hAnsi="仿宋" w:cs="仿宋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个月。</w:t>
      </w:r>
    </w:p>
    <w:p w14:paraId="020438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.售后服务要求:</w:t>
      </w:r>
    </w:p>
    <w:p w14:paraId="1857C3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详见《医疗设备售后服务承诺》，并提供盖章的文件。</w:t>
      </w:r>
    </w:p>
    <w:p w14:paraId="12958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5.技术服务、技术培训</w:t>
      </w:r>
    </w:p>
    <w:p w14:paraId="15C65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1）</w:t>
      </w: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操作应用培训：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中标人负责对采购人技术人员、操作人员免费进行设备的基本操作</w:t>
      </w: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培训，培训内容包含且不限于系统详细介绍、软件功能介绍、设备质控介绍、设备参数介绍、高级临床应用介绍等。提供厂方书面培训计划及要求，并由使用科室对培训结果进行确认。</w:t>
      </w:r>
    </w:p>
    <w:p w14:paraId="65D1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sz w:val="21"/>
          <w:szCs w:val="21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45E9B4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2）维修保养培训：中标人负责对采购人技术员、操作人员免费进行设备的日常维护培训，培训内容包含且不限于培训人员介绍、设备机房工作环境培训、设备部件电气项目和机械项目培训等。</w:t>
      </w:r>
      <w:r>
        <w:rPr>
          <w:rFonts w:hint="eastAsia" w:ascii="仿宋" w:hAnsi="仿宋" w:eastAsia="仿宋" w:cs="仿宋"/>
          <w:sz w:val="21"/>
          <w:szCs w:val="21"/>
        </w:rPr>
        <w:t>提供厂方书面培训计划（同厂方工程师内容），在厂方维修中心实施培训，并由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医学工程</w:t>
      </w:r>
      <w:r>
        <w:rPr>
          <w:rFonts w:hint="eastAsia" w:ascii="仿宋" w:hAnsi="仿宋" w:eastAsia="仿宋" w:cs="仿宋"/>
          <w:sz w:val="21"/>
          <w:szCs w:val="21"/>
        </w:rPr>
        <w:t>科对培训结果签（字）章确认。</w:t>
      </w:r>
    </w:p>
    <w:p w14:paraId="07F0E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sz w:val="21"/>
          <w:szCs w:val="21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29FAB5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质量控制: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提供厂方的医疗设备安全使用及质量管理要求及实施计划（保修期内由厂方实施）</w:t>
      </w:r>
      <w:r>
        <w:rPr>
          <w:rFonts w:hint="eastAsia" w:ascii="仿宋" w:hAnsi="仿宋" w:cs="仿宋"/>
          <w:b w:val="0"/>
          <w:bCs w:val="0"/>
          <w:color w:val="auto"/>
          <w:sz w:val="21"/>
          <w:szCs w:val="21"/>
          <w:lang w:val="en-US" w:eastAsia="zh-CN"/>
        </w:rPr>
        <w:t>。</w:t>
      </w:r>
      <w:bookmarkStart w:id="2" w:name="_GoBack"/>
      <w:bookmarkEnd w:id="2"/>
    </w:p>
    <w:p w14:paraId="7056F59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21"/>
          <w:szCs w:val="21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1"/>
          <w:szCs w:val="21"/>
        </w:rPr>
        <w:t>提供厂方书面设备安装要求并符合条件的说明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1"/>
          <w:szCs w:val="21"/>
        </w:rPr>
        <w:t>签章后进行设备安装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sz w:val="21"/>
          <w:szCs w:val="21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sz w:val="21"/>
          <w:szCs w:val="21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仿宋" w:cs="Calibri"/>
          <w:color w:val="auto"/>
          <w:sz w:val="21"/>
          <w:szCs w:val="21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48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60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技术分（46）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技术响应与采购需求的符合性评价（34分）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充分满足采购需求且优化的，最高得34分，基本满足采购需求得30分，不满足不得分。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技术服务、技术培训（6分）</w:t>
            </w:r>
          </w:p>
          <w:p w14:paraId="5128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（2）维修保养培训（0-3分）：投标人负责在提供维修人员的培训，提供培训方案，方案考虑充分安排有效，最高得3分（评分范围：3，2，1，0）</w:t>
            </w:r>
            <w:r>
              <w:rPr>
                <w:rStyle w:val="12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1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成功案例（3分）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</w:t>
            </w:r>
            <w:r>
              <w:rPr>
                <w:rStyle w:val="11"/>
                <w:rFonts w:hint="eastAsia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售后服务方案及备品配件优惠幅度（16分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  <w:p w14:paraId="6E75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(4)优惠（0-6）：根据优惠条件高的得6分，部分优惠得3分，无优惠不得分。</w:t>
            </w:r>
          </w:p>
        </w:tc>
      </w:tr>
    </w:tbl>
    <w:p w14:paraId="48C8AC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B918B"/>
    <w:multiLevelType w:val="singleLevel"/>
    <w:tmpl w:val="F03B918B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/>
        <w:bCs/>
      </w:rPr>
    </w:lvl>
  </w:abstractNum>
  <w:abstractNum w:abstractNumId="1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7751"/>
    <w:rsid w:val="0B3B0708"/>
    <w:rsid w:val="108E36CA"/>
    <w:rsid w:val="2C73437A"/>
    <w:rsid w:val="2D291F95"/>
    <w:rsid w:val="349626C2"/>
    <w:rsid w:val="38A03462"/>
    <w:rsid w:val="43A67406"/>
    <w:rsid w:val="4E860404"/>
    <w:rsid w:val="4F9A1371"/>
    <w:rsid w:val="52C8398D"/>
    <w:rsid w:val="5617141C"/>
    <w:rsid w:val="5AE85085"/>
    <w:rsid w:val="6FCD7929"/>
    <w:rsid w:val="727C172E"/>
    <w:rsid w:val="75306EF3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2264</Words>
  <Characters>2402</Characters>
  <Lines>0</Lines>
  <Paragraphs>0</Paragraphs>
  <TotalTime>1</TotalTime>
  <ScaleCrop>false</ScaleCrop>
  <LinksUpToDate>false</LinksUpToDate>
  <CharactersWithSpaces>2442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2025-03-22T02:00:01Z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eyJoZGlkIjoiZWE0ZDVhNzJiZWY3M2JiNTI2M2Y5NmNiYmQxMjY0YzQiLCJ1c2VySWQiOiIyNTc5MTEzOTMifQ==</vt:lpwstr>
  </property>
  <property fmtid="{D5CDD505-2E9C-101B-9397-08002B2CF9AE}" pid="4" name="ICV">
    <vt:lpwstr>69E01B2617E04DB2899C71158A8CCE77_12</vt:lpwstr>
  </property>
</Properties>
</file>