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305F">
      <w:pPr>
        <w:jc w:val="center"/>
        <w:rPr>
          <w:rFonts w:hint="eastAsia" w:ascii="微软雅黑" w:hAnsi="微软雅黑" w:eastAsia="微软雅黑" w:cs="微软雅黑"/>
          <w:b/>
          <w:bCs/>
          <w:i w:val="0"/>
          <w:iCs w:val="0"/>
          <w:caps w:val="0"/>
          <w:color w:val="000000"/>
          <w:spacing w:val="0"/>
          <w:sz w:val="36"/>
          <w:szCs w:val="36"/>
          <w:lang w:val="en-US" w:eastAsia="zh-CN"/>
        </w:rPr>
      </w:pPr>
      <w:bookmarkStart w:id="0" w:name="_Toc31077"/>
      <w:bookmarkStart w:id="1" w:name="_Toc23061"/>
      <w:bookmarkStart w:id="2" w:name="_Toc12096_WPSOffice_Level1"/>
      <w:bookmarkStart w:id="3" w:name="_Toc26689"/>
      <w:bookmarkStart w:id="4" w:name="_Toc438052120"/>
      <w:bookmarkStart w:id="5" w:name="_Toc18555"/>
      <w:bookmarkStart w:id="6" w:name="_Toc19026"/>
      <w:bookmarkStart w:id="7" w:name="_Toc2"/>
      <w:r>
        <w:rPr>
          <w:rFonts w:hint="eastAsia" w:ascii="微软雅黑" w:hAnsi="微软雅黑" w:eastAsia="微软雅黑" w:cs="微软雅黑"/>
          <w:b/>
          <w:bCs/>
          <w:i w:val="0"/>
          <w:iCs w:val="0"/>
          <w:caps w:val="0"/>
          <w:color w:val="000000"/>
          <w:spacing w:val="0"/>
          <w:sz w:val="36"/>
          <w:szCs w:val="36"/>
          <w:lang w:val="en-US" w:eastAsia="zh-CN"/>
        </w:rPr>
        <w:t>湖州市南浔区人民医院</w:t>
      </w:r>
    </w:p>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r>
        <w:rPr>
          <w:rFonts w:hint="eastAsia" w:ascii="微软雅黑" w:hAnsi="微软雅黑" w:eastAsia="微软雅黑" w:cs="微软雅黑"/>
          <w:b/>
          <w:bCs/>
          <w:i w:val="0"/>
          <w:iCs w:val="0"/>
          <w:caps w:val="0"/>
          <w:color w:val="000000"/>
          <w:spacing w:val="0"/>
          <w:sz w:val="36"/>
          <w:szCs w:val="36"/>
          <w:lang w:val="en-US" w:eastAsia="zh-CN"/>
        </w:rPr>
        <w:t>急诊生化免疫试剂采购院内供应商遴选项目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801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5E7792C2">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_Toc8481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rPr>
              <w:rFonts w:hint="eastAsia" w:ascii="微软雅黑" w:hAnsi="微软雅黑" w:eastAsia="微软雅黑" w:cs="微软雅黑"/>
            </w:rPr>
            <w:fldChar w:fldCharType="end"/>
          </w:r>
        </w:p>
        <w:p w14:paraId="387BEA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_Toc22387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_Toc22387 \h </w:instrText>
          </w:r>
          <w:r>
            <w:fldChar w:fldCharType="separate"/>
          </w:r>
          <w:r>
            <w:t>4</w:t>
          </w:r>
          <w:r>
            <w:fldChar w:fldCharType="end"/>
          </w:r>
          <w:r>
            <w:rPr>
              <w:rFonts w:hint="eastAsia" w:ascii="微软雅黑" w:hAnsi="微软雅黑" w:eastAsia="微软雅黑" w:cs="微软雅黑"/>
            </w:rPr>
            <w:fldChar w:fldCharType="end"/>
          </w:r>
        </w:p>
        <w:p w14:paraId="1FC4BCD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_Toc5629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试剂及设备原厂维保授权书</w:t>
          </w:r>
          <w:r>
            <w:tab/>
          </w:r>
          <w:r>
            <w:fldChar w:fldCharType="begin"/>
          </w:r>
          <w:r>
            <w:instrText xml:space="preserve"> PAGEREF _Toc5629 \h </w:instrText>
          </w:r>
          <w:r>
            <w:fldChar w:fldCharType="separate"/>
          </w:r>
          <w:r>
            <w:t>5</w:t>
          </w:r>
          <w:r>
            <w:fldChar w:fldCharType="end"/>
          </w:r>
          <w:r>
            <w:rPr>
              <w:rFonts w:hint="eastAsia" w:ascii="微软雅黑" w:hAnsi="微软雅黑" w:eastAsia="微软雅黑" w:cs="微软雅黑"/>
            </w:rPr>
            <w:fldChar w:fldCharType="end"/>
          </w:r>
        </w:p>
        <w:p w14:paraId="5FA3D9BA">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_Toc10447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_Toc10447 \h </w:instrText>
          </w:r>
          <w:r>
            <w:fldChar w:fldCharType="separate"/>
          </w:r>
          <w:r>
            <w:t>6</w:t>
          </w:r>
          <w:r>
            <w:fldChar w:fldCharType="end"/>
          </w:r>
          <w:r>
            <w:rPr>
              <w:rFonts w:hint="eastAsia" w:ascii="微软雅黑" w:hAnsi="微软雅黑" w:eastAsia="微软雅黑" w:cs="微软雅黑"/>
            </w:rPr>
            <w:fldChar w:fldCharType="end"/>
          </w:r>
        </w:p>
        <w:p w14:paraId="5A892C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_Toc27704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_Toc27704 \h </w:instrText>
          </w:r>
          <w:r>
            <w:fldChar w:fldCharType="separate"/>
          </w:r>
          <w:r>
            <w:t>7</w:t>
          </w:r>
          <w:r>
            <w:fldChar w:fldCharType="end"/>
          </w:r>
          <w:r>
            <w:rPr>
              <w:rFonts w:hint="eastAsia" w:ascii="微软雅黑" w:hAnsi="微软雅黑" w:eastAsia="微软雅黑" w:cs="微软雅黑"/>
            </w:rPr>
            <w:fldChar w:fldCharType="end"/>
          </w:r>
        </w:p>
        <w:p w14:paraId="332273E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_Toc14542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C2C98C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_Toc12106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DE290BF">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_Toc5385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E5F39A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_Toc11873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2A19A9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_Toc20492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bookmarkStart w:id="34" w:name="_GoBack"/>
      <w:bookmarkEnd w:id="34"/>
      <w:r>
        <w:br w:type="page"/>
      </w:r>
      <w:bookmarkStart w:id="8" w:name="_Toc8481"/>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2E04999C">
      <w:pPr>
        <w:pStyle w:val="5"/>
        <w:bidi w:val="0"/>
        <w:jc w:val="center"/>
        <w:rPr>
          <w:rFonts w:hint="eastAsia" w:ascii="微软雅黑" w:hAnsi="微软雅黑" w:eastAsia="微软雅黑" w:cs="微软雅黑"/>
        </w:rPr>
      </w:pPr>
      <w:bookmarkStart w:id="9" w:name="_Toc22387"/>
      <w:r>
        <w:rPr>
          <w:rFonts w:hint="eastAsia" w:ascii="微软雅黑" w:hAnsi="微软雅黑" w:eastAsia="微软雅黑" w:cs="微软雅黑"/>
          <w:lang w:val="en-US" w:eastAsia="zh-CN"/>
        </w:rPr>
        <w:t>其他相关资质证书</w:t>
      </w:r>
      <w:bookmarkEnd w:id="9"/>
    </w:p>
    <w:p w14:paraId="2B4B10C8">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default" w:ascii="微软雅黑" w:hAnsi="微软雅黑" w:eastAsia="微软雅黑" w:cs="微软雅黑"/>
          <w:lang w:val="en-US" w:eastAsia="zh-CN"/>
        </w:rPr>
      </w:pPr>
      <w:bookmarkStart w:id="10" w:name="_Toc5629"/>
      <w:r>
        <w:rPr>
          <w:rFonts w:hint="eastAsia" w:ascii="微软雅黑" w:hAnsi="微软雅黑" w:eastAsia="微软雅黑" w:cs="微软雅黑"/>
          <w:lang w:val="en-US" w:eastAsia="zh-CN"/>
        </w:rPr>
        <w:t>试剂及设备原厂维保授权书</w:t>
      </w:r>
      <w:bookmarkEnd w:id="10"/>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0447"/>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27704"/>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9124"/>
      <w:bookmarkStart w:id="15" w:name="_Toc30288"/>
      <w:bookmarkStart w:id="16" w:name="_Toc25412"/>
      <w:bookmarkStart w:id="17" w:name="_Toc15045"/>
      <w:bookmarkStart w:id="18" w:name="_Toc26844_WPSOffice_Level1"/>
      <w:bookmarkStart w:id="19" w:name="_Toc28333"/>
      <w:bookmarkStart w:id="20" w:name="_Toc851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2106"/>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9711"/>
      <w:bookmarkStart w:id="24" w:name="_Toc1629_WPSOffice_Level1"/>
      <w:bookmarkStart w:id="25" w:name="_Toc6670"/>
      <w:bookmarkStart w:id="26" w:name="_Toc5362"/>
      <w:bookmarkStart w:id="27" w:name="_Toc19253"/>
      <w:bookmarkStart w:id="28" w:name="_Toc30495"/>
      <w:bookmarkStart w:id="29" w:name="_Toc9814"/>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11873"/>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3" w:name="_Toc20492"/>
      <w:r>
        <w:rPr>
          <w:rFonts w:hint="eastAsia"/>
          <w:lang w:val="en-US" w:eastAsia="zh-CN"/>
        </w:rPr>
        <w:t>项目初次</w:t>
      </w:r>
      <w:r>
        <w:rPr>
          <w:rFonts w:hint="eastAsia"/>
        </w:rPr>
        <w:t>报价表</w:t>
      </w:r>
      <w:bookmarkEnd w:id="33"/>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801</w:t>
      </w:r>
      <w:r>
        <w:rPr>
          <w:rFonts w:hint="eastAsia" w:ascii="仿宋_GB2312" w:hAnsi="宋体" w:eastAsia="仿宋_GB2312"/>
          <w:b/>
          <w:sz w:val="28"/>
          <w:szCs w:val="28"/>
          <w:lang w:val="en-US" w:eastAsia="zh-CN"/>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1537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98" w:type="dxa"/>
            <w:gridSpan w:val="2"/>
            <w:noWrap w:val="0"/>
            <w:vAlign w:val="center"/>
          </w:tcPr>
          <w:p w14:paraId="48A15D2E">
            <w:pPr>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急诊生化免疫试剂采购院内供应商遴选项目</w:t>
            </w:r>
          </w:p>
        </w:tc>
      </w:tr>
      <w:tr w14:paraId="355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5EF86DCF">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初次报价</w:t>
            </w:r>
          </w:p>
          <w:p w14:paraId="2AF9D446">
            <w:pPr>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（按结算比例）</w:t>
            </w:r>
          </w:p>
        </w:tc>
        <w:tc>
          <w:tcPr>
            <w:tcW w:w="3128" w:type="dxa"/>
            <w:noWrap w:val="0"/>
            <w:vAlign w:val="center"/>
          </w:tcPr>
          <w:p w14:paraId="7ADD3E56">
            <w:pPr>
              <w:jc w:val="left"/>
              <w:rPr>
                <w:rFonts w:hint="eastAsia" w:ascii="仿宋_GB2312" w:hAnsi="宋体" w:eastAsia="仿宋_GB2312"/>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项目一：急诊生化项目</w:t>
            </w:r>
          </w:p>
        </w:tc>
        <w:tc>
          <w:tcPr>
            <w:tcW w:w="3870" w:type="dxa"/>
            <w:noWrap w:val="0"/>
            <w:vAlign w:val="center"/>
          </w:tcPr>
          <w:p w14:paraId="65106B41">
            <w:pPr>
              <w:jc w:val="right"/>
              <w:rPr>
                <w:rFonts w:hint="eastAsia" w:ascii="仿宋_GB2312" w:hAnsi="宋体" w:eastAsia="仿宋_GB2312"/>
                <w:sz w:val="28"/>
                <w:szCs w:val="28"/>
              </w:rPr>
            </w:pPr>
          </w:p>
        </w:tc>
      </w:tr>
      <w:tr w14:paraId="1C61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6" w:hRule="atLeast"/>
        </w:trPr>
        <w:tc>
          <w:tcPr>
            <w:tcW w:w="2203" w:type="dxa"/>
            <w:tcBorders>
              <w:top w:val="single" w:color="auto" w:sz="4" w:space="0"/>
              <w:bottom w:val="single" w:color="auto" w:sz="4" w:space="0"/>
            </w:tcBorders>
            <w:noWrap w:val="0"/>
            <w:vAlign w:val="center"/>
          </w:tcPr>
          <w:p w14:paraId="27658C5E">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初次报价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（按结算比例）</w:t>
            </w:r>
          </w:p>
        </w:tc>
        <w:tc>
          <w:tcPr>
            <w:tcW w:w="3128" w:type="dxa"/>
            <w:noWrap w:val="0"/>
            <w:vAlign w:val="center"/>
          </w:tcPr>
          <w:p w14:paraId="41D8C075">
            <w:pPr>
              <w:jc w:val="left"/>
              <w:rPr>
                <w:rFonts w:hint="eastAsia" w:ascii="仿宋_GB2312" w:hAnsi="宋体" w:eastAsia="仿宋_GB2312"/>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项目二：急诊免疫项目</w:t>
            </w:r>
          </w:p>
        </w:tc>
        <w:tc>
          <w:tcPr>
            <w:tcW w:w="3870" w:type="dxa"/>
            <w:noWrap w:val="0"/>
            <w:vAlign w:val="center"/>
          </w:tcPr>
          <w:p w14:paraId="13992ADB">
            <w:pPr>
              <w:jc w:val="right"/>
              <w:rPr>
                <w:rFonts w:hint="eastAsia" w:ascii="仿宋_GB2312" w:hAnsi="宋体" w:eastAsia="仿宋_GB2312"/>
                <w:sz w:val="28"/>
                <w:szCs w:val="28"/>
              </w:rPr>
            </w:pP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浔医（采）20250801 急诊生化免疫试剂采购院内供应商遴选项目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E326AC"/>
    <w:rsid w:val="63350559"/>
    <w:rsid w:val="63604ACA"/>
    <w:rsid w:val="640E162B"/>
    <w:rsid w:val="648C180A"/>
    <w:rsid w:val="6ACF4185"/>
    <w:rsid w:val="6AFD4DD9"/>
    <w:rsid w:val="6DB93295"/>
    <w:rsid w:val="6DBB48D1"/>
    <w:rsid w:val="6EC511F8"/>
    <w:rsid w:val="6F8547A9"/>
    <w:rsid w:val="70BD7139"/>
    <w:rsid w:val="71536DF7"/>
    <w:rsid w:val="715A7BD9"/>
    <w:rsid w:val="733B7E56"/>
    <w:rsid w:val="75725890"/>
    <w:rsid w:val="7C2F0ECB"/>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2971</Words>
  <Characters>3042</Characters>
  <Lines>3</Lines>
  <Paragraphs>1</Paragraphs>
  <TotalTime>1</TotalTime>
  <ScaleCrop>false</ScaleCrop>
  <LinksUpToDate>false</LinksUpToDate>
  <CharactersWithSpaces>4521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2025-08-14T03:11:39Z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